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аудита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аудита»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«Основы аудита».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финансы, финансовый анализ, риски хозяйственной деятельности организации и методы управления ими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собирать информацию из различных источников, систематизировать различные виды информации, анализировать полученную информацию и формулиро-ать выводы по итогам ее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анализа рисков в объеме, необходимом для выполнения аудиторского задания, в части, относящейся к своей работе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отбора элементов для проведения аудиторских процедур (аудиторской выборки) и анализа результатов выполнения аудиторских процедур (действий)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своей работы при оказании сопутствующих аудиту или прочих услуг, связанных с аудиторской деятельностью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анализа рисков при оказании сопутствующих аудиту или прочих услуг, связанных с аудиторской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«Основы аудита»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аудита, место в системе контроля. Цель и основные принципы аудита бухгалтерской отчетности</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аудита в развитии функции контроля в условиях рыночной экономики. Понятие аудита. Возникновение аудита как отрасли специальных научных знаний и вида деятельности в развитых странах мира. История аудита в России. Рынок аудиторских услуг.</w:t>
            </w:r>
          </w:p>
          <w:p>
            <w:pPr>
              <w:jc w:val="both"/>
              <w:spacing w:after="0" w:line="240" w:lineRule="auto"/>
              <w:rPr>
                <w:sz w:val="24"/>
                <w:szCs w:val="24"/>
              </w:rPr>
            </w:pPr>
            <w:r>
              <w:rPr>
                <w:rFonts w:ascii="Times New Roman" w:hAnsi="Times New Roman" w:cs="Times New Roman"/>
                <w:color w:val="#000000"/>
                <w:sz w:val="24"/>
                <w:szCs w:val="24"/>
              </w:rPr>
              <w:t> Отличие аудита от других форм экономического контроля: ревизии, финансового контроля, судебно-бухгалтерской экспертизы. Аудит как особый вид контроля. Место аудита в системе финансового контроля. Основные концепции мирового развития аудита.</w:t>
            </w:r>
          </w:p>
          <w:p>
            <w:pPr>
              <w:jc w:val="both"/>
              <w:spacing w:after="0" w:line="240" w:lineRule="auto"/>
              <w:rPr>
                <w:sz w:val="24"/>
                <w:szCs w:val="24"/>
              </w:rPr>
            </w:pPr>
            <w:r>
              <w:rPr>
                <w:rFonts w:ascii="Times New Roman" w:hAnsi="Times New Roman" w:cs="Times New Roman"/>
                <w:color w:val="#000000"/>
                <w:sz w:val="24"/>
                <w:szCs w:val="24"/>
              </w:rPr>
              <w:t> Аудиторская деятельность как триада экономических, юридических и этических норм. Требования, предъявляемые к организациям, осуществляемым аудиторскую деятельность в РФ.</w:t>
            </w:r>
          </w:p>
          <w:p>
            <w:pPr>
              <w:jc w:val="both"/>
              <w:spacing w:after="0" w:line="240" w:lineRule="auto"/>
              <w:rPr>
                <w:sz w:val="24"/>
                <w:szCs w:val="24"/>
              </w:rPr>
            </w:pPr>
            <w:r>
              <w:rPr>
                <w:rFonts w:ascii="Times New Roman" w:hAnsi="Times New Roman" w:cs="Times New Roman"/>
                <w:color w:val="#000000"/>
                <w:sz w:val="24"/>
                <w:szCs w:val="24"/>
              </w:rPr>
              <w:t> Задачи, направления аудиторских проверок, состав пользователей материалов аудиторских заключений. Сущность аудиторской фирмы как коммерческой организации и аудиторской деятельности как предпринимательской. Виды аудиторских проверок и аудиторских услуг. Виды аудита: внешний и внутренний, обязательный и инициативный. Критерии, по которым бухгалтерская отчетность подлежит обязательной аудиторской проверке. Цель и основные принципы аудита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Сущность аудита на соответствие требованиям. Понятие операционного аудита. Основные черты аудита эффективности.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аудиторских услуг, оказываемых наряду с аудитом бухгалтерской отчетности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Сопутствующие аудиту услуги. Обзорные проверки. Согласованные процедуры. Компиляция финансовой информации.</w:t>
            </w:r>
          </w:p>
          <w:p>
            <w:pPr>
              <w:jc w:val="both"/>
              <w:spacing w:after="0" w:line="240" w:lineRule="auto"/>
              <w:rPr>
                <w:sz w:val="24"/>
                <w:szCs w:val="24"/>
              </w:rPr>
            </w:pPr>
            <w:r>
              <w:rPr>
                <w:rFonts w:ascii="Times New Roman" w:hAnsi="Times New Roman" w:cs="Times New Roman"/>
                <w:color w:val="#000000"/>
                <w:sz w:val="24"/>
                <w:szCs w:val="24"/>
              </w:rPr>
              <w:t> Прочие связанные с аудиторской деятельностью услуги. Постановка, восстановление и ведение бухгалтерского учета, составление бухгалтерской (финансовой) отчетности, бухгалтерское консультирование. Налоговое консультирование, постановка, восстановление и ведение налогового учета, составление налоговых расчетов и деклараций.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 Автоматизация бухгалтерского учета и внедрение информационных технологий. Оценочная деятельность. Разработка и анализ инвестиционных проектов, составление бизнес-планов.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 Обучение в областях, связанных с аудиторской деятельностью.</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1470.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аудитора. Предназначение профессионального кодекса.</w:t>
            </w:r>
          </w:p>
          <w:p>
            <w:pPr>
              <w:jc w:val="both"/>
              <w:spacing w:after="0" w:line="240" w:lineRule="auto"/>
              <w:rPr>
                <w:sz w:val="24"/>
                <w:szCs w:val="24"/>
              </w:rPr>
            </w:pPr>
            <w:r>
              <w:rPr>
                <w:rFonts w:ascii="Times New Roman" w:hAnsi="Times New Roman" w:cs="Times New Roman"/>
                <w:color w:val="#000000"/>
                <w:sz w:val="24"/>
                <w:szCs w:val="24"/>
              </w:rPr>
              <w:t> Кодекс этики Международной федерации бухгалтеров (IFAC). Предназначение и сфера действия Кодекса.</w:t>
            </w:r>
          </w:p>
          <w:p>
            <w:pPr>
              <w:jc w:val="both"/>
              <w:spacing w:after="0" w:line="240" w:lineRule="auto"/>
              <w:rPr>
                <w:sz w:val="24"/>
                <w:szCs w:val="24"/>
              </w:rPr>
            </w:pPr>
            <w:r>
              <w:rPr>
                <w:rFonts w:ascii="Times New Roman" w:hAnsi="Times New Roman" w:cs="Times New Roman"/>
                <w:color w:val="#000000"/>
                <w:sz w:val="24"/>
                <w:szCs w:val="24"/>
              </w:rPr>
              <w:t> 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pPr>
              <w:jc w:val="both"/>
              <w:spacing w:after="0" w:line="240" w:lineRule="auto"/>
              <w:rPr>
                <w:sz w:val="24"/>
                <w:szCs w:val="24"/>
              </w:rPr>
            </w:pPr>
            <w:r>
              <w:rPr>
                <w:rFonts w:ascii="Times New Roman" w:hAnsi="Times New Roman" w:cs="Times New Roman"/>
                <w:color w:val="#000000"/>
                <w:sz w:val="24"/>
                <w:szCs w:val="24"/>
              </w:rPr>
              <w:t> Этические кодексы аудиторских объединений и аудиторских фирм. Предназначение и сфера действия Кодексов.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принципиальная структура аудиторского цикла. Получение предложения на проведение аудита. Способы получения аудиторской фирмой предложения на оказание услуг. Рекламирование аудиторских услуг. Случаи проведения конкурсов на оказание аудиторских услуг по законодательству РФ. Нормативная регламентация и правила про- ведения открытого конкурса по отбору аудиторских организаций для осуществления обязательного ежегодного аудита организации, доля государственной собственности или собственности субъекта РФ в уставном капитале которой составляет не менее 25 процентов.</w:t>
            </w:r>
          </w:p>
          <w:p>
            <w:pPr>
              <w:jc w:val="both"/>
              <w:spacing w:after="0" w:line="240" w:lineRule="auto"/>
              <w:rPr>
                <w:sz w:val="24"/>
                <w:szCs w:val="24"/>
              </w:rPr>
            </w:pPr>
            <w:r>
              <w:rPr>
                <w:rFonts w:ascii="Times New Roman" w:hAnsi="Times New Roman" w:cs="Times New Roman"/>
                <w:color w:val="#000000"/>
                <w:sz w:val="24"/>
                <w:szCs w:val="24"/>
              </w:rPr>
              <w:t> Предварительное экспресс-обследование. Необходимость предварительного экспресс- обследования. Перечень вопросов, подлежащих рассмотрению аудитором до заключения договора. Документирование результатов предварительного экспресс – обследования.</w:t>
            </w:r>
          </w:p>
          <w:p>
            <w:pPr>
              <w:jc w:val="both"/>
              <w:spacing w:after="0" w:line="240" w:lineRule="auto"/>
              <w:rPr>
                <w:sz w:val="24"/>
                <w:szCs w:val="24"/>
              </w:rPr>
            </w:pPr>
            <w:r>
              <w:rPr>
                <w:rFonts w:ascii="Times New Roman" w:hAnsi="Times New Roman" w:cs="Times New Roman"/>
                <w:color w:val="#000000"/>
                <w:sz w:val="24"/>
                <w:szCs w:val="24"/>
              </w:rPr>
              <w:t> Подготовка письма-соглашения об условиях аудиторского задания. Содержание и форма письма-соглашения об условиях аудиторского задания. Статус письма. Случаи, когда письмо-срглашение может не составляться.</w:t>
            </w:r>
          </w:p>
          <w:p>
            <w:pPr>
              <w:jc w:val="both"/>
              <w:spacing w:after="0" w:line="240" w:lineRule="auto"/>
              <w:rPr>
                <w:sz w:val="24"/>
                <w:szCs w:val="24"/>
              </w:rPr>
            </w:pPr>
            <w:r>
              <w:rPr>
                <w:rFonts w:ascii="Times New Roman" w:hAnsi="Times New Roman" w:cs="Times New Roman"/>
                <w:color w:val="#000000"/>
                <w:sz w:val="24"/>
                <w:szCs w:val="24"/>
              </w:rPr>
              <w:t> Заключение договора на проведение аудиторской проверки. Общие условия договора на проведение аудиторской проверки как договора возмездного оказания услуг. Специальные требования к договору на проведение аудиторской проверки, предусмотренные международными стандартами аудиторской деятельности. Порядок заключения договора на проведение аудиторской проверки. Права и обязанности сторон по договору. Ответственность сторон по договору.</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программа аудита.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pPr>
              <w:jc w:val="both"/>
              <w:spacing w:after="0" w:line="240" w:lineRule="auto"/>
              <w:rPr>
                <w:sz w:val="24"/>
                <w:szCs w:val="24"/>
              </w:rPr>
            </w:pPr>
            <w:r>
              <w:rPr>
                <w:rFonts w:ascii="Times New Roman" w:hAnsi="Times New Roman" w:cs="Times New Roman"/>
                <w:color w:val="#000000"/>
                <w:sz w:val="24"/>
                <w:szCs w:val="24"/>
              </w:rPr>
              <w:t> 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pPr>
              <w:jc w:val="both"/>
              <w:spacing w:after="0" w:line="240" w:lineRule="auto"/>
              <w:rPr>
                <w:sz w:val="24"/>
                <w:szCs w:val="24"/>
              </w:rPr>
            </w:pPr>
            <w:r>
              <w:rPr>
                <w:rFonts w:ascii="Times New Roman" w:hAnsi="Times New Roman" w:cs="Times New Roman"/>
                <w:color w:val="#000000"/>
                <w:sz w:val="24"/>
                <w:szCs w:val="24"/>
              </w:rPr>
              <w:t> Программа аудита. Единство и различие общего плана и программы аудита. Структура и содержание программы аудита.</w:t>
            </w:r>
          </w:p>
          <w:p>
            <w:pPr>
              <w:jc w:val="both"/>
              <w:spacing w:after="0" w:line="240" w:lineRule="auto"/>
              <w:rPr>
                <w:sz w:val="24"/>
                <w:szCs w:val="24"/>
              </w:rPr>
            </w:pPr>
            <w:r>
              <w:rPr>
                <w:rFonts w:ascii="Times New Roman" w:hAnsi="Times New Roman" w:cs="Times New Roman"/>
                <w:color w:val="#000000"/>
                <w:sz w:val="24"/>
                <w:szCs w:val="24"/>
              </w:rPr>
              <w:t> Выбор основных направлений аудиторской проверки.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pPr>
              <w:jc w:val="both"/>
              <w:spacing w:after="0" w:line="240" w:lineRule="auto"/>
              <w:rPr>
                <w:sz w:val="24"/>
                <w:szCs w:val="24"/>
              </w:rPr>
            </w:pPr>
            <w:r>
              <w:rPr>
                <w:rFonts w:ascii="Times New Roman" w:hAnsi="Times New Roman" w:cs="Times New Roman"/>
                <w:color w:val="#000000"/>
                <w:sz w:val="24"/>
                <w:szCs w:val="24"/>
              </w:rPr>
              <w:t> 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задания аудиторам и ассистентам. Контроль руководителем группы работы аудиторов и ассистентов в ходе аудита.</w:t>
            </w:r>
          </w:p>
          <w:p>
            <w:pPr>
              <w:jc w:val="both"/>
              <w:spacing w:after="0" w:line="240" w:lineRule="auto"/>
              <w:rPr>
                <w:sz w:val="24"/>
                <w:szCs w:val="24"/>
              </w:rPr>
            </w:pPr>
            <w:r>
              <w:rPr>
                <w:rFonts w:ascii="Times New Roman" w:hAnsi="Times New Roman" w:cs="Times New Roman"/>
                <w:color w:val="#000000"/>
                <w:sz w:val="24"/>
                <w:szCs w:val="24"/>
              </w:rPr>
              <w:t> Влияние масштаба аудируемых лиц, организационно-правовой формы, вида бизнеса на программы аудита.</w:t>
            </w:r>
          </w:p>
          <w:p>
            <w:pPr>
              <w:jc w:val="both"/>
              <w:spacing w:after="0" w:line="240" w:lineRule="auto"/>
              <w:rPr>
                <w:sz w:val="24"/>
                <w:szCs w:val="24"/>
              </w:rPr>
            </w:pPr>
            <w:r>
              <w:rPr>
                <w:rFonts w:ascii="Times New Roman" w:hAnsi="Times New Roman" w:cs="Times New Roman"/>
                <w:color w:val="#000000"/>
                <w:sz w:val="24"/>
                <w:szCs w:val="24"/>
              </w:rPr>
              <w:t> 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340.0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концепции в аудите. Понятие существенности и риска в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аудиторской проверки, методы минимизации и обеспечения приемлемой величины аудиторского риска. Понятие существенности в аудите.</w:t>
            </w:r>
          </w:p>
          <w:p>
            <w:pPr>
              <w:jc w:val="both"/>
              <w:spacing w:after="0" w:line="240" w:lineRule="auto"/>
              <w:rPr>
                <w:sz w:val="24"/>
                <w:szCs w:val="24"/>
              </w:rPr>
            </w:pPr>
            <w:r>
              <w:rPr>
                <w:rFonts w:ascii="Times New Roman" w:hAnsi="Times New Roman" w:cs="Times New Roman"/>
                <w:color w:val="#000000"/>
                <w:sz w:val="24"/>
                <w:szCs w:val="24"/>
              </w:rPr>
              <w:t> 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pPr>
              <w:jc w:val="both"/>
              <w:spacing w:after="0" w:line="240" w:lineRule="auto"/>
              <w:rPr>
                <w:sz w:val="24"/>
                <w:szCs w:val="24"/>
              </w:rPr>
            </w:pPr>
            <w:r>
              <w:rPr>
                <w:rFonts w:ascii="Times New Roman" w:hAnsi="Times New Roman" w:cs="Times New Roman"/>
                <w:color w:val="#000000"/>
                <w:sz w:val="24"/>
                <w:szCs w:val="24"/>
              </w:rPr>
              <w:t> 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рисков. Оценка рисков существенного искажения информации. Риски существенного искажения информации на уровне финансовой (бухгалтерской) отчетности в целом. Риски существенного искажения информации на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Модель аудиторского риска. Приемлемый аудиторский риск и его взаимосвязь с уровнем существенности. Элементы аудиторского риска.</w:t>
            </w:r>
          </w:p>
          <w:p>
            <w:pPr>
              <w:jc w:val="both"/>
              <w:spacing w:after="0" w:line="240" w:lineRule="auto"/>
              <w:rPr>
                <w:sz w:val="24"/>
                <w:szCs w:val="24"/>
              </w:rPr>
            </w:pPr>
            <w:r>
              <w:rPr>
                <w:rFonts w:ascii="Times New Roman" w:hAnsi="Times New Roman" w:cs="Times New Roman"/>
                <w:color w:val="#000000"/>
                <w:sz w:val="24"/>
                <w:szCs w:val="24"/>
              </w:rPr>
              <w:t> Применение специализированных информационно-аналитических программных средств при оценке основных элементов аудиторского риска.</w:t>
            </w:r>
          </w:p>
          <w:p>
            <w:pPr>
              <w:jc w:val="both"/>
              <w:spacing w:after="0" w:line="240" w:lineRule="auto"/>
              <w:rPr>
                <w:sz w:val="24"/>
                <w:szCs w:val="24"/>
              </w:rPr>
            </w:pPr>
            <w:r>
              <w:rPr>
                <w:rFonts w:ascii="Times New Roman" w:hAnsi="Times New Roman" w:cs="Times New Roman"/>
                <w:color w:val="#000000"/>
                <w:sz w:val="24"/>
                <w:szCs w:val="24"/>
              </w:rPr>
              <w:t> 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организации внутреннего контроля и ее влияние на величину аудиторского риска. Понятие системы внутреннего контроля (СВК) аудируемой организации. Элементы системы внутреннего контроля: контрольная среда, оценка бизнес-риска, информационная система, контрольные действия, мониторинг средств контроля. Принципы функционирования СВК.</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внутреннего контроля. Функции службы внутреннего контроля. Отражение процедур контроля в положениях о подразделениях и должностных инструкциях. Комитет по аудиту Совета директоров. Департамент внутреннего аудита. Служба контроллинга. Рассмотрение работы службы внутреннего контроля внешним аудитором. Роль внутренних аудиторов в повышении эффективности системы внутреннего контроля.</w:t>
            </w:r>
          </w:p>
          <w:p>
            <w:pPr>
              <w:jc w:val="both"/>
              <w:spacing w:after="0" w:line="240" w:lineRule="auto"/>
              <w:rPr>
                <w:sz w:val="24"/>
                <w:szCs w:val="24"/>
              </w:rPr>
            </w:pPr>
            <w:r>
              <w:rPr>
                <w:rFonts w:ascii="Times New Roman" w:hAnsi="Times New Roman" w:cs="Times New Roman"/>
                <w:color w:val="#000000"/>
                <w:sz w:val="24"/>
                <w:szCs w:val="24"/>
              </w:rPr>
              <w:t> Методы оценки системы внутреннего контроля. Система тестов средств внутреннего контроля и порядок документирования их результатов. Влияние оценки СВК на объем и характер аудиторских процедур.</w:t>
            </w:r>
          </w:p>
          <w:p>
            <w:pPr>
              <w:jc w:val="both"/>
              <w:spacing w:after="0" w:line="240" w:lineRule="auto"/>
              <w:rPr>
                <w:sz w:val="24"/>
                <w:szCs w:val="24"/>
              </w:rPr>
            </w:pPr>
            <w:r>
              <w:rPr>
                <w:rFonts w:ascii="Times New Roman" w:hAnsi="Times New Roman" w:cs="Times New Roman"/>
                <w:color w:val="#000000"/>
                <w:sz w:val="24"/>
                <w:szCs w:val="24"/>
              </w:rPr>
              <w:t> Риски СВК. Особенности влияния масштаба, организационно-правовой формы и вида бизнеса аудируемых лиц на характер рисков СВК. Учет среды компьютерной и информационных систем при оценке аудиторского риска и внутреннего контроля. Информационная безопасность. Особенности оценки СВК при проведении аудита кредитных организаций, бирж, инвестиционных компаний, страховых организаций, государственных и муниципальных унитарных предприятий.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1982.8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доказательств в соответствии с международными стандартами аудиторской деятельности. Понятие достаточности и надлежащего характера аудиторских доказательств. Предпосылки подготовки достоверной бухгалтерской отчетности как объекты аудиторских процедур.</w:t>
            </w:r>
          </w:p>
          <w:p>
            <w:pPr>
              <w:jc w:val="both"/>
              <w:spacing w:after="0" w:line="240" w:lineRule="auto"/>
              <w:rPr>
                <w:sz w:val="24"/>
                <w:szCs w:val="24"/>
              </w:rPr>
            </w:pPr>
            <w:r>
              <w:rPr>
                <w:rFonts w:ascii="Times New Roman" w:hAnsi="Times New Roman" w:cs="Times New Roman"/>
                <w:color w:val="#000000"/>
                <w:sz w:val="24"/>
                <w:szCs w:val="24"/>
              </w:rPr>
              <w:t> Процедуры получения аудиторских доказательств. Классификация аудиторских процедур. Источники получения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Основные этапы, техника и технология проведения аудиторских проверок. Тесты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контроля, тесты по существу, аналитические процедуры и их виды.</w:t>
            </w:r>
          </w:p>
          <w:p>
            <w:pPr>
              <w:jc w:val="both"/>
              <w:spacing w:after="0" w:line="240" w:lineRule="auto"/>
              <w:rPr>
                <w:sz w:val="24"/>
                <w:szCs w:val="24"/>
              </w:rPr>
            </w:pPr>
            <w:r>
              <w:rPr>
                <w:rFonts w:ascii="Times New Roman" w:hAnsi="Times New Roman" w:cs="Times New Roman"/>
                <w:color w:val="#000000"/>
                <w:sz w:val="24"/>
                <w:szCs w:val="24"/>
              </w:rPr>
              <w:t> Внешнее подтверждение как аудиторское доказательство. Суть процедуры получения внешнего подтверждения.</w:t>
            </w:r>
          </w:p>
          <w:p>
            <w:pPr>
              <w:jc w:val="both"/>
              <w:spacing w:after="0" w:line="240" w:lineRule="auto"/>
              <w:rPr>
                <w:sz w:val="24"/>
                <w:szCs w:val="24"/>
              </w:rPr>
            </w:pPr>
            <w:r>
              <w:rPr>
                <w:rFonts w:ascii="Times New Roman" w:hAnsi="Times New Roman" w:cs="Times New Roman"/>
                <w:color w:val="#000000"/>
                <w:sz w:val="24"/>
                <w:szCs w:val="24"/>
              </w:rPr>
              <w:t> 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pPr>
              <w:jc w:val="both"/>
              <w:spacing w:after="0" w:line="240" w:lineRule="auto"/>
              <w:rPr>
                <w:sz w:val="24"/>
                <w:szCs w:val="24"/>
              </w:rPr>
            </w:pPr>
            <w:r>
              <w:rPr>
                <w:rFonts w:ascii="Times New Roman" w:hAnsi="Times New Roman" w:cs="Times New Roman"/>
                <w:color w:val="#000000"/>
                <w:sz w:val="24"/>
                <w:szCs w:val="24"/>
              </w:rPr>
              <w:t> 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pPr>
              <w:jc w:val="both"/>
              <w:spacing w:after="0" w:line="240" w:lineRule="auto"/>
              <w:rPr>
                <w:sz w:val="24"/>
                <w:szCs w:val="24"/>
              </w:rPr>
            </w:pPr>
            <w:r>
              <w:rPr>
                <w:rFonts w:ascii="Times New Roman" w:hAnsi="Times New Roman" w:cs="Times New Roman"/>
                <w:color w:val="#000000"/>
                <w:sz w:val="24"/>
                <w:szCs w:val="24"/>
              </w:rPr>
              <w:t> Использование работы внутренних аудиторов при сборе аудиторских доказательств. Аналитические процедуры и особенности их использования при проведении аудита.</w:t>
            </w:r>
          </w:p>
          <w:p>
            <w:pPr>
              <w:jc w:val="both"/>
              <w:spacing w:after="0" w:line="240" w:lineRule="auto"/>
              <w:rPr>
                <w:sz w:val="24"/>
                <w:szCs w:val="24"/>
              </w:rPr>
            </w:pPr>
            <w:r>
              <w:rPr>
                <w:rFonts w:ascii="Times New Roman" w:hAnsi="Times New Roman" w:cs="Times New Roman"/>
                <w:color w:val="#000000"/>
                <w:sz w:val="24"/>
                <w:szCs w:val="24"/>
              </w:rPr>
              <w:t> 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аудиторского заключения. Юридический статус аудиторского заключения в соответствии со стандартами аудиторской деятельности, законом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элементы аудиторского заключения. Виды и порядок подготовки аудиторских заключений. Немодифицированное аудиторское заключение. Модифицированное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p>
            <w:pPr>
              <w:jc w:val="both"/>
              <w:spacing w:after="0" w:line="240" w:lineRule="auto"/>
              <w:rPr>
                <w:sz w:val="24"/>
                <w:szCs w:val="24"/>
              </w:rPr>
            </w:pPr>
            <w:r>
              <w:rPr>
                <w:rFonts w:ascii="Times New Roman" w:hAnsi="Times New Roman" w:cs="Times New Roman"/>
                <w:color w:val="#000000"/>
                <w:sz w:val="24"/>
                <w:szCs w:val="24"/>
              </w:rPr>
              <w:t> Методика описания в аудиторском заключении нарушений, выявленных в ходе проверки (на примере внутрифирменного стандарта).</w:t>
            </w:r>
          </w:p>
          <w:p>
            <w:pPr>
              <w:jc w:val="both"/>
              <w:spacing w:after="0" w:line="240" w:lineRule="auto"/>
              <w:rPr>
                <w:sz w:val="24"/>
                <w:szCs w:val="24"/>
              </w:rPr>
            </w:pPr>
            <w:r>
              <w:rPr>
                <w:rFonts w:ascii="Times New Roman" w:hAnsi="Times New Roman" w:cs="Times New Roman"/>
                <w:color w:val="#000000"/>
                <w:sz w:val="24"/>
                <w:szCs w:val="24"/>
              </w:rPr>
              <w:t> 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Порядок и способы доведения до заказчика информации по результатам аудиторской проверки.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аудиторских услуг, оказываемых наряду с аудитом бухгалтерской отчетности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Сопутствующие аудиту услуги. Обзорные проверки. Согласованные процедуры. Компиляция финансовой информации.</w:t>
            </w:r>
          </w:p>
          <w:p>
            <w:pPr>
              <w:jc w:val="both"/>
              <w:spacing w:after="0" w:line="240" w:lineRule="auto"/>
              <w:rPr>
                <w:sz w:val="24"/>
                <w:szCs w:val="24"/>
              </w:rPr>
            </w:pPr>
            <w:r>
              <w:rPr>
                <w:rFonts w:ascii="Times New Roman" w:hAnsi="Times New Roman" w:cs="Times New Roman"/>
                <w:color w:val="#000000"/>
                <w:sz w:val="24"/>
                <w:szCs w:val="24"/>
              </w:rPr>
              <w:t> Прочие связанные с аудиторской деятельностью услуги. Постановка, восстановление и ведение бухгалтерского учета, составление бухгалтерской (финансовой) отчетности, бухгалтерское консультирование. Налоговое консультирование, постановка, восстановление и ведение налогового учета, составление налоговых расчетов и деклараций.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 Автоматизация бухгалтерского учета и внедрение информационных технологий. Оценочная деятельность. Разработка и анализ инвестиционных проектов, составление бизнес-планов.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 Обучение в областях, связанных с аудиторской деятельностью.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аудитора. Предназначение профессионального кодекса.</w:t>
            </w:r>
          </w:p>
          <w:p>
            <w:pPr>
              <w:jc w:val="both"/>
              <w:spacing w:after="0" w:line="240" w:lineRule="auto"/>
              <w:rPr>
                <w:sz w:val="24"/>
                <w:szCs w:val="24"/>
              </w:rPr>
            </w:pPr>
            <w:r>
              <w:rPr>
                <w:rFonts w:ascii="Times New Roman" w:hAnsi="Times New Roman" w:cs="Times New Roman"/>
                <w:color w:val="#000000"/>
                <w:sz w:val="24"/>
                <w:szCs w:val="24"/>
              </w:rPr>
              <w:t> Кодекс этики Международной федерации бухгалтеров (IFAC). Предназначение и сфера действия Кодекса.</w:t>
            </w:r>
          </w:p>
          <w:p>
            <w:pPr>
              <w:jc w:val="both"/>
              <w:spacing w:after="0" w:line="240" w:lineRule="auto"/>
              <w:rPr>
                <w:sz w:val="24"/>
                <w:szCs w:val="24"/>
              </w:rPr>
            </w:pPr>
            <w:r>
              <w:rPr>
                <w:rFonts w:ascii="Times New Roman" w:hAnsi="Times New Roman" w:cs="Times New Roman"/>
                <w:color w:val="#000000"/>
                <w:sz w:val="24"/>
                <w:szCs w:val="24"/>
              </w:rPr>
              <w:t> 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pPr>
              <w:jc w:val="both"/>
              <w:spacing w:after="0" w:line="240" w:lineRule="auto"/>
              <w:rPr>
                <w:sz w:val="24"/>
                <w:szCs w:val="24"/>
              </w:rPr>
            </w:pPr>
            <w:r>
              <w:rPr>
                <w:rFonts w:ascii="Times New Roman" w:hAnsi="Times New Roman" w:cs="Times New Roman"/>
                <w:color w:val="#000000"/>
                <w:sz w:val="24"/>
                <w:szCs w:val="24"/>
              </w:rPr>
              <w:t> Этические кодексы аудиторских объединений и аудиторских фирм. Предназначение и сфера действия Кодексов.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Аудиторская выборка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получения аудиторских доказательств. Случаи использования сплошной проверки в ходе аудита. Экономическая сущность и целесообразность выборочного контроля. Взаимосвязь выборочного и аналитического контроля в ходе аудита.</w:t>
            </w:r>
          </w:p>
          <w:p>
            <w:pPr>
              <w:jc w:val="both"/>
              <w:spacing w:after="0" w:line="240" w:lineRule="auto"/>
              <w:rPr>
                <w:sz w:val="24"/>
                <w:szCs w:val="24"/>
              </w:rPr>
            </w:pPr>
            <w:r>
              <w:rPr>
                <w:rFonts w:ascii="Times New Roman" w:hAnsi="Times New Roman" w:cs="Times New Roman"/>
                <w:color w:val="#000000"/>
                <w:sz w:val="24"/>
                <w:szCs w:val="24"/>
              </w:rPr>
              <w:t> Аудиторская выборка. Определение аудиторской выборки в соответствии с федеральными правилами (стандартами) аудиторской деятельности. Этапы выборочной аудиторской проверки (общая схема выборочного исследования). Понятие генеральной совокупности, элементов выборки и стратификации. Методы отбора элементов выборки. Понятие репрезентативной выборки. Риски аудиторской выборки.</w:t>
            </w:r>
          </w:p>
          <w:p>
            <w:pPr>
              <w:jc w:val="both"/>
              <w:spacing w:after="0" w:line="240" w:lineRule="auto"/>
              <w:rPr>
                <w:sz w:val="24"/>
                <w:szCs w:val="24"/>
              </w:rPr>
            </w:pPr>
            <w:r>
              <w:rPr>
                <w:rFonts w:ascii="Times New Roman" w:hAnsi="Times New Roman" w:cs="Times New Roman"/>
                <w:color w:val="#000000"/>
                <w:sz w:val="24"/>
                <w:szCs w:val="24"/>
              </w:rPr>
              <w:t> Оценка результатов выборки. Принципиальная классификация отклонений, выявляемых в ходе выборочного контроля. Оценка результатов выборочной аудиторской проверки и экстраполяция полученных результатов для формирования мнения о генеральной совокупности.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методы обеспечения качества аудиторских проверок. Система контроля качества аудита в Российской Федерации. Роль и функции государственных органов и саморегулируемых аудиторских организаций в контроле качества аудита. Внутрифирменный контроль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Аудиторские доказательства и документы. Документирование аудиторских доказательств. Определение терминов «документация», «документирование» в соответствии с законодательством РФ. Основные принципы сбора и документирования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 Обеспечение сохранности рабочих документов аудиторской фирмы.</w:t>
            </w:r>
          </w:p>
          <w:p>
            <w:pPr>
              <w:jc w:val="both"/>
              <w:spacing w:after="0" w:line="240" w:lineRule="auto"/>
              <w:rPr>
                <w:sz w:val="24"/>
                <w:szCs w:val="24"/>
              </w:rPr>
            </w:pPr>
            <w:r>
              <w:rPr>
                <w:rFonts w:ascii="Times New Roman" w:hAnsi="Times New Roman" w:cs="Times New Roman"/>
                <w:color w:val="#000000"/>
                <w:sz w:val="24"/>
                <w:szCs w:val="24"/>
              </w:rPr>
              <w:t> Рабочие документы аудитора как документальная основа внутрифирменного контроля качества аудиторских проверок. Программное обеспечение документирования и поддержки аудиторских процедур.</w:t>
            </w:r>
          </w:p>
          <w:p>
            <w:pPr>
              <w:jc w:val="both"/>
              <w:spacing w:after="0" w:line="240" w:lineRule="auto"/>
              <w:rPr>
                <w:sz w:val="24"/>
                <w:szCs w:val="24"/>
              </w:rPr>
            </w:pPr>
            <w:r>
              <w:rPr>
                <w:rFonts w:ascii="Times New Roman" w:hAnsi="Times New Roman" w:cs="Times New Roman"/>
                <w:color w:val="#000000"/>
                <w:sz w:val="24"/>
                <w:szCs w:val="24"/>
              </w:rPr>
              <w:t> Особенности аудита в условиях компьютерной обработки данных (КОД). Понятие аудита в условиях КОД. Определение уровня автоматизации учетного и производственного процесса аудируемого лица в ходе планирования аудита. Программное обеспечение поддержки аудиторских процедур. Особенности проведения аудиторских проверок и организации документооборота с применением специализированных программных средств.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аудита, место в системе контроля. Цель и основные принципы аудита бухгалтерской отчетности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21.31518"/>
        </w:trPr>
        <w:tc>
          <w:tcPr>
            <w:tcW w:w="9640" w:type="dxa"/>
          </w:tcPr>
          <w:p/>
        </w:tc>
      </w:tr>
      <w:tr>
        <w:trPr>
          <w:trHeight w:hRule="exact" w:val="2439.3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аудитора. Предназначение профессионального кодекса.</w:t>
            </w:r>
          </w:p>
          <w:p>
            <w:pPr>
              <w:jc w:val="left"/>
              <w:spacing w:after="0" w:line="240" w:lineRule="auto"/>
              <w:rPr>
                <w:sz w:val="24"/>
                <w:szCs w:val="24"/>
              </w:rPr>
            </w:pPr>
            <w:r>
              <w:rPr>
                <w:rFonts w:ascii="Times New Roman" w:hAnsi="Times New Roman" w:cs="Times New Roman"/>
                <w:color w:val="#000000"/>
                <w:sz w:val="24"/>
                <w:szCs w:val="24"/>
              </w:rPr>
              <w:t> Кодекс этики Международной федерации бухгалтеров (IFAC). Предназначение и сфера действия Кодекса.</w:t>
            </w:r>
          </w:p>
          <w:p>
            <w:pPr>
              <w:jc w:val="left"/>
              <w:spacing w:after="0" w:line="240" w:lineRule="auto"/>
              <w:rPr>
                <w:sz w:val="24"/>
                <w:szCs w:val="24"/>
              </w:rPr>
            </w:pPr>
            <w:r>
              <w:rPr>
                <w:rFonts w:ascii="Times New Roman" w:hAnsi="Times New Roman" w:cs="Times New Roman"/>
                <w:color w:val="#000000"/>
                <w:sz w:val="24"/>
                <w:szCs w:val="24"/>
              </w:rPr>
              <w:t> 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совместимая с аудиторской практикой.</w:t>
            </w:r>
          </w:p>
          <w:p>
            <w:pPr>
              <w:jc w:val="left"/>
              <w:spacing w:after="0" w:line="240" w:lineRule="auto"/>
              <w:rPr>
                <w:sz w:val="24"/>
                <w:szCs w:val="24"/>
              </w:rPr>
            </w:pPr>
            <w:r>
              <w:rPr>
                <w:rFonts w:ascii="Times New Roman" w:hAnsi="Times New Roman" w:cs="Times New Roman"/>
                <w:color w:val="#000000"/>
                <w:sz w:val="24"/>
                <w:szCs w:val="24"/>
              </w:rPr>
              <w:t> Этические кодексы аудиторских объединений и аудиторских фирм. Предназначение и сфера действия Кодексов.</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аудиторских стандартов</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международных и национальных стандартов в развитии и совершенствовании аудиторской деятельности. Определение понятий «стандарт» и «стандартизация» по законодательству РФ. Характеристика международных стандартов аудита.</w:t>
            </w:r>
          </w:p>
          <w:p>
            <w:pPr>
              <w:jc w:val="left"/>
              <w:spacing w:after="0" w:line="240" w:lineRule="auto"/>
              <w:rPr>
                <w:sz w:val="24"/>
                <w:szCs w:val="24"/>
              </w:rPr>
            </w:pPr>
            <w:r>
              <w:rPr>
                <w:rFonts w:ascii="Times New Roman" w:hAnsi="Times New Roman" w:cs="Times New Roman"/>
                <w:color w:val="#000000"/>
                <w:sz w:val="24"/>
                <w:szCs w:val="24"/>
              </w:rPr>
              <w:t> Стандарты саморегулируемых профессиональных объединений.</w:t>
            </w:r>
          </w:p>
          <w:p>
            <w:pPr>
              <w:jc w:val="left"/>
              <w:spacing w:after="0" w:line="240" w:lineRule="auto"/>
              <w:rPr>
                <w:sz w:val="24"/>
                <w:szCs w:val="24"/>
              </w:rPr>
            </w:pPr>
            <w:r>
              <w:rPr>
                <w:rFonts w:ascii="Times New Roman" w:hAnsi="Times New Roman" w:cs="Times New Roman"/>
                <w:color w:val="#000000"/>
                <w:sz w:val="24"/>
                <w:szCs w:val="24"/>
              </w:rPr>
              <w:t> Внутрифирменные стандарты аудита. Требования, предъявляемые к внутренним стандартам аудиторских организаций. Назначение и принципы подготовки внутренних стандартов аудиторской организации.</w:t>
            </w: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аудита»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Бахтигозина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Бошнякович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Федченко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Лаврушина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Бодяко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Мироненко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Слиняков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Зеленов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Корзоватых</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Рогуленко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858.922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https://urait.ru/bcode/431431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https://www.biblio-online.ru/bcode/431434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2023-2024_ФГОС3++2023_Бак-ОЗФО-Э(ФКиА)(23)_plx_Основы аудита</dc:title>
  <dc:creator>FastReport.NET</dc:creator>
</cp:coreProperties>
</file>